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“侬好”上海专题展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拼图游戏说明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拼图（原图见图一）一共分为A、B、C、D、E、F六个区域，相应的分区请见图二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4135" cy="3491865"/>
            <wp:effectExtent l="0" t="0" r="18415" b="13335"/>
            <wp:docPr id="3" name="图片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图一：拼图原图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0775" cy="3347085"/>
            <wp:effectExtent l="0" t="0" r="3175" b="5715"/>
            <wp:docPr id="2" name="图片 2" descr="标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图二：拼图区域划分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为方便大家能更快捷的定位分区，我们又将每个区域细分成1、2、3、4四个小区域（见图三），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0525" cy="25908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图三：区域细分图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然后分别在每个数字区域内区用荧光笔进行涂色，数字“2”范围内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为橘色，</w:t>
      </w: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数字“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”范围内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为粉色，</w:t>
      </w: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数字“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”范围内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为蓝色，</w:t>
      </w: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数字“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z w:val="24"/>
          <w:szCs w:val="24"/>
          <w:lang w:val="en-US" w:eastAsia="zh-CN"/>
        </w:rPr>
        <w:t>”范围内</w:t>
      </w: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不涂色，具体颜色分区</w:t>
      </w:r>
      <w:bookmarkStart w:id="0" w:name="_GoBack"/>
      <w:bookmarkEnd w:id="0"/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请见图四。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inline distT="0" distB="0" distL="114300" distR="114300">
            <wp:extent cx="4752975" cy="2476500"/>
            <wp:effectExtent l="0" t="0" r="9525" b="0"/>
            <wp:docPr id="7" name="图片 7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图四：颜色图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组队成员拼图前可自行协商如何分配各个拼图片，打开拼图盒即计时开始，拼图完成后记录用时时长，完成即可获得小礼物一份，用时最少的一组，每人另可获得上海纪念币一枚。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 w:cs="Times New Roman"/>
          <w:sz w:val="24"/>
          <w:szCs w:val="24"/>
          <w:lang w:val="en-US" w:eastAsia="zh-CN"/>
        </w:rPr>
        <w:t>活动最终解释权归本图书馆所有。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56766"/>
    <w:rsid w:val="0AC70E44"/>
    <w:rsid w:val="11412368"/>
    <w:rsid w:val="3A796B12"/>
    <w:rsid w:val="7E5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771CAA"/>
      <w:u w:val="none"/>
    </w:rPr>
  </w:style>
  <w:style w:type="character" w:styleId="6">
    <w:name w:val="Emphasis"/>
    <w:basedOn w:val="4"/>
    <w:qFormat/>
    <w:uiPriority w:val="0"/>
    <w:rPr>
      <w:color w:val="F73131"/>
    </w:rPr>
  </w:style>
  <w:style w:type="character" w:styleId="7">
    <w:name w:val="Hyperlink"/>
    <w:basedOn w:val="4"/>
    <w:uiPriority w:val="0"/>
    <w:rPr>
      <w:color w:val="2440B3"/>
      <w:u w:val="none"/>
    </w:rPr>
  </w:style>
  <w:style w:type="character" w:styleId="8">
    <w:name w:val="HTML Cite"/>
    <w:basedOn w:val="4"/>
    <w:uiPriority w:val="0"/>
    <w:rPr>
      <w:color w:val="008000"/>
    </w:rPr>
  </w:style>
  <w:style w:type="character" w:customStyle="1" w:styleId="9">
    <w:name w:val="hover24"/>
    <w:basedOn w:val="4"/>
    <w:uiPriority w:val="0"/>
  </w:style>
  <w:style w:type="character" w:customStyle="1" w:styleId="10">
    <w:name w:val="hover25"/>
    <w:basedOn w:val="4"/>
    <w:uiPriority w:val="0"/>
    <w:rPr>
      <w:color w:val="315EFB"/>
    </w:rPr>
  </w:style>
  <w:style w:type="character" w:customStyle="1" w:styleId="11">
    <w:name w:val="c-icon28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2022-05-05T00:29:00Z</dcterms:created>
  <dc:creator>Administrator</dc:creator>
  <cp:lastModifiedBy>Administrator</cp:lastModifiedBy>
  <dcterms:modified xsi:type="dcterms:W3CDTF">2022-05-05T05:37:33Z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