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ind w:left="0" w:right="0" w:firstLine="0"/>
        <w:jc w:val="center"/>
        <w:rPr>
          <w:sz w:val="51"/>
          <w:lang w:val="en-US"/>
        </w:rPr>
      </w:pPr>
      <w:r>
        <w:rPr>
          <w:rFonts w:hint="eastAsia" w:ascii="方正小标宋简体" w:eastAsia="方正小标宋简体"/>
          <w:lang w:val="en-US"/>
        </w:rPr>
        <w:t>杭州电子科技大学信息工程学院关于教师指导学生参加学科竞赛活动奖励补充说明</w:t>
      </w:r>
    </w:p>
    <w:p>
      <w:pPr>
        <w:autoSpaceDE/>
        <w:autoSpaceDN/>
        <w:spacing w:line="360" w:lineRule="auto"/>
        <w:jc w:val="center"/>
        <w:rPr>
          <w:sz w:val="32"/>
          <w:szCs w:val="32"/>
          <w:lang w:val="en-US"/>
        </w:rPr>
      </w:pPr>
      <w:r>
        <w:rPr>
          <w:rFonts w:hint="eastAsia"/>
          <w:sz w:val="32"/>
          <w:szCs w:val="32"/>
          <w:lang w:val="en-US"/>
        </w:rPr>
        <w:t>（试行）</w:t>
      </w:r>
    </w:p>
    <w:tbl>
      <w:tblPr>
        <w:tblStyle w:val="4"/>
        <w:tblpPr w:leftFromText="180" w:rightFromText="180" w:vertAnchor="text" w:tblpX="10218" w:tblpY="-2196"/>
        <w:tblOverlap w:val="never"/>
        <w:tblW w:w="2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2630" w:type="dxa"/>
          </w:tcPr>
          <w:p>
            <w:pPr>
              <w:spacing w:line="360" w:lineRule="auto"/>
              <w:jc w:val="left"/>
              <w:rPr>
                <w:sz w:val="32"/>
                <w:szCs w:val="32"/>
                <w:lang w:val="en-US"/>
              </w:rPr>
            </w:pPr>
          </w:p>
          <w:p>
            <w:pPr>
              <w:spacing w:line="360" w:lineRule="auto"/>
              <w:jc w:val="left"/>
              <w:rPr>
                <w:sz w:val="32"/>
                <w:szCs w:val="32"/>
                <w:lang w:val="en-US"/>
              </w:rPr>
            </w:pPr>
          </w:p>
        </w:tc>
      </w:tr>
    </w:tbl>
    <w:tbl>
      <w:tblPr>
        <w:tblStyle w:val="3"/>
        <w:tblW w:w="9071" w:type="dxa"/>
        <w:jc w:val="center"/>
        <w:tblLayout w:type="fixed"/>
        <w:tblCellMar>
          <w:top w:w="0" w:type="dxa"/>
          <w:left w:w="108" w:type="dxa"/>
          <w:bottom w:w="0" w:type="dxa"/>
          <w:right w:w="108" w:type="dxa"/>
        </w:tblCellMar>
      </w:tblPr>
      <w:tblGrid>
        <w:gridCol w:w="1858"/>
        <w:gridCol w:w="2331"/>
        <w:gridCol w:w="2425"/>
        <w:gridCol w:w="2457"/>
      </w:tblGrid>
      <w:tr>
        <w:trPr>
          <w:trHeight w:val="454" w:hRule="exact"/>
          <w:jc w:val="center"/>
        </w:trPr>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000000"/>
                <w:sz w:val="24"/>
                <w:szCs w:val="24"/>
              </w:rPr>
            </w:pPr>
            <w:r>
              <w:rPr>
                <w:rFonts w:hint="eastAsia"/>
                <w:b/>
                <w:bCs/>
                <w:color w:val="000000"/>
                <w:sz w:val="24"/>
                <w:szCs w:val="24"/>
                <w:lang w:val="en-US" w:bidi="ar"/>
              </w:rPr>
              <w:t>级别</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000000"/>
                <w:sz w:val="24"/>
                <w:szCs w:val="24"/>
              </w:rPr>
            </w:pPr>
            <w:r>
              <w:rPr>
                <w:rFonts w:hint="eastAsia"/>
                <w:b/>
                <w:bCs/>
                <w:color w:val="000000"/>
                <w:sz w:val="24"/>
                <w:szCs w:val="24"/>
                <w:lang w:val="en-US" w:bidi="ar"/>
              </w:rPr>
              <w:t>教师指导奖金奖励</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000000"/>
                <w:sz w:val="24"/>
                <w:szCs w:val="24"/>
              </w:rPr>
            </w:pPr>
            <w:r>
              <w:rPr>
                <w:rFonts w:hint="eastAsia"/>
                <w:b/>
                <w:bCs/>
                <w:color w:val="000000"/>
                <w:sz w:val="24"/>
                <w:szCs w:val="24"/>
                <w:lang w:val="en-US" w:bidi="ar"/>
              </w:rPr>
              <w:t>教师聘期考核认定</w:t>
            </w:r>
          </w:p>
        </w:tc>
      </w:tr>
      <w:tr>
        <w:trPr>
          <w:trHeight w:val="567" w:hRule="exact"/>
          <w:jc w:val="center"/>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lang w:val="en-US" w:bidi="ar"/>
              </w:rPr>
            </w:pPr>
            <w:r>
              <w:rPr>
                <w:rFonts w:hint="eastAsia"/>
                <w:color w:val="000000"/>
                <w:sz w:val="21"/>
                <w:szCs w:val="21"/>
                <w:lang w:val="en-US" w:bidi="ar"/>
              </w:rPr>
              <w:t>省厅体系竞赛</w:t>
            </w:r>
          </w:p>
          <w:p>
            <w:pPr>
              <w:widowControl/>
              <w:jc w:val="center"/>
              <w:textAlignment w:val="center"/>
              <w:rPr>
                <w:color w:val="000000"/>
                <w:sz w:val="21"/>
                <w:szCs w:val="21"/>
              </w:rPr>
            </w:pPr>
            <w:r>
              <w:rPr>
                <w:rFonts w:hint="eastAsia"/>
                <w:color w:val="000000"/>
                <w:sz w:val="21"/>
                <w:szCs w:val="21"/>
                <w:lang w:val="en-US" w:bidi="ar"/>
              </w:rPr>
              <w:t>国家级奖项</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rPr>
            </w:pPr>
            <w:r>
              <w:rPr>
                <w:rFonts w:hint="eastAsia"/>
                <w:color w:val="000000"/>
                <w:sz w:val="21"/>
                <w:szCs w:val="21"/>
                <w:lang w:val="en-US" w:bidi="ar"/>
              </w:rPr>
              <w:t>/</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bidi="ar"/>
              </w:rPr>
              <w:t>国家级</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bidi="ar"/>
              </w:rPr>
              <w:t>国家级</w:t>
            </w:r>
          </w:p>
        </w:tc>
      </w:tr>
      <w:tr>
        <w:trPr>
          <w:trHeight w:val="567" w:hRule="exact"/>
          <w:jc w:val="center"/>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lang w:val="en-US" w:bidi="ar"/>
              </w:rPr>
            </w:pPr>
            <w:r>
              <w:rPr>
                <w:rFonts w:hint="eastAsia"/>
                <w:color w:val="000000"/>
                <w:sz w:val="21"/>
                <w:szCs w:val="21"/>
                <w:lang w:val="en-US" w:bidi="ar"/>
              </w:rPr>
              <w:t>省厅体系竞赛</w:t>
            </w:r>
          </w:p>
          <w:p>
            <w:pPr>
              <w:widowControl/>
              <w:jc w:val="center"/>
              <w:textAlignment w:val="center"/>
              <w:rPr>
                <w:color w:val="000000"/>
                <w:sz w:val="21"/>
                <w:szCs w:val="21"/>
              </w:rPr>
            </w:pPr>
            <w:r>
              <w:rPr>
                <w:rFonts w:hint="eastAsia"/>
                <w:color w:val="000000"/>
                <w:sz w:val="21"/>
                <w:szCs w:val="21"/>
                <w:lang w:val="en-US" w:bidi="ar"/>
              </w:rPr>
              <w:t>省级奖项</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rPr>
            </w:pPr>
            <w:r>
              <w:rPr>
                <w:rFonts w:hint="eastAsia"/>
                <w:color w:val="000000"/>
                <w:sz w:val="21"/>
                <w:szCs w:val="21"/>
                <w:lang w:val="en-US" w:bidi="ar"/>
              </w:rPr>
              <w:t>/</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bidi="ar"/>
              </w:rPr>
              <w:t>省级</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bidi="ar"/>
              </w:rPr>
              <w:t>省级</w:t>
            </w:r>
          </w:p>
        </w:tc>
      </w:tr>
      <w:tr>
        <w:trPr>
          <w:trHeight w:val="454" w:hRule="exact"/>
          <w:jc w:val="center"/>
        </w:trPr>
        <w:tc>
          <w:tcPr>
            <w:tcW w:w="181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color w:val="000000"/>
                <w:sz w:val="21"/>
                <w:szCs w:val="21"/>
                <w:lang w:val="en-US" w:bidi="ar"/>
              </w:rPr>
            </w:pPr>
            <w:r>
              <w:rPr>
                <w:rFonts w:hint="eastAsia"/>
                <w:color w:val="000000"/>
                <w:sz w:val="21"/>
                <w:szCs w:val="21"/>
                <w:lang w:val="en-US" w:bidi="ar"/>
              </w:rPr>
              <w:t>全国榜单竞赛</w:t>
            </w:r>
          </w:p>
          <w:p>
            <w:pPr>
              <w:widowControl/>
              <w:jc w:val="center"/>
              <w:textAlignment w:val="center"/>
              <w:rPr>
                <w:color w:val="000000"/>
                <w:sz w:val="21"/>
                <w:szCs w:val="21"/>
              </w:rPr>
            </w:pPr>
            <w:r>
              <w:rPr>
                <w:rFonts w:hint="eastAsia"/>
                <w:color w:val="000000"/>
                <w:sz w:val="21"/>
                <w:szCs w:val="21"/>
                <w:lang w:val="en-US" w:bidi="ar"/>
              </w:rPr>
              <w:t>国家级奖项</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rPr>
            </w:pPr>
            <w:r>
              <w:rPr>
                <w:rFonts w:hint="eastAsia"/>
                <w:color w:val="000000"/>
                <w:sz w:val="21"/>
                <w:szCs w:val="21"/>
                <w:lang w:val="en-US" w:bidi="ar"/>
              </w:rPr>
              <w:t>①     省推国＜25%</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bidi="ar"/>
              </w:rPr>
              <w:t>国家级</w:t>
            </w:r>
          </w:p>
        </w:tc>
        <w:tc>
          <w:tcPr>
            <w:tcW w:w="2400"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bidi="ar"/>
              </w:rPr>
              <w:t>国家级</w:t>
            </w:r>
          </w:p>
        </w:tc>
      </w:tr>
      <w:tr>
        <w:trPr>
          <w:trHeight w:val="454" w:hRule="exact"/>
          <w:jc w:val="center"/>
        </w:trPr>
        <w:tc>
          <w:tcPr>
            <w:tcW w:w="1814" w:type="dxa"/>
            <w:vMerge w:val="continue"/>
            <w:tcBorders>
              <w:left w:val="single" w:color="000000" w:sz="4" w:space="0"/>
              <w:right w:val="single" w:color="000000" w:sz="4" w:space="0"/>
            </w:tcBorders>
            <w:shd w:val="clear" w:color="auto" w:fill="auto"/>
            <w:vAlign w:val="center"/>
          </w:tcPr>
          <w:p>
            <w:pPr>
              <w:jc w:val="center"/>
              <w:rPr>
                <w:color w:val="000000"/>
                <w:sz w:val="21"/>
                <w:szCs w:val="21"/>
              </w:rPr>
            </w:pP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lang w:val="en-US"/>
              </w:rPr>
            </w:pPr>
            <w:r>
              <w:rPr>
                <w:rFonts w:hint="eastAsia"/>
                <w:color w:val="000000"/>
                <w:sz w:val="21"/>
                <w:szCs w:val="21"/>
                <w:lang w:val="en-US" w:bidi="ar"/>
              </w:rPr>
              <w:t>①25%≤省推国＜50%</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lang w:val="en-US"/>
              </w:rPr>
            </w:pPr>
            <w:r>
              <w:rPr>
                <w:rFonts w:hint="eastAsia"/>
                <w:color w:val="000000"/>
                <w:sz w:val="21"/>
                <w:szCs w:val="21"/>
                <w:lang w:val="en-US" w:bidi="ar"/>
              </w:rPr>
              <w:t>降等认定</w:t>
            </w:r>
          </w:p>
        </w:tc>
        <w:tc>
          <w:tcPr>
            <w:tcW w:w="2400" w:type="dxa"/>
            <w:vMerge w:val="continue"/>
            <w:tcBorders>
              <w:left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p>
        </w:tc>
      </w:tr>
      <w:tr>
        <w:trPr>
          <w:trHeight w:val="567" w:hRule="exact"/>
          <w:jc w:val="center"/>
        </w:trPr>
        <w:tc>
          <w:tcPr>
            <w:tcW w:w="1814" w:type="dxa"/>
            <w:vMerge w:val="continue"/>
            <w:tcBorders>
              <w:left w:val="single" w:color="000000" w:sz="4" w:space="0"/>
              <w:right w:val="single" w:color="000000" w:sz="4" w:space="0"/>
            </w:tcBorders>
            <w:shd w:val="clear" w:color="auto" w:fill="auto"/>
            <w:vAlign w:val="center"/>
          </w:tcPr>
          <w:p>
            <w:pPr>
              <w:jc w:val="center"/>
              <w:rPr>
                <w:color w:val="000000"/>
                <w:sz w:val="21"/>
                <w:szCs w:val="21"/>
              </w:rPr>
            </w:pP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rPr>
            </w:pPr>
            <w:r>
              <w:rPr>
                <w:rFonts w:hint="eastAsia"/>
                <w:color w:val="000000"/>
                <w:sz w:val="21"/>
                <w:szCs w:val="21"/>
                <w:lang w:val="en-US" w:bidi="ar"/>
              </w:rPr>
              <w:t>①50%≤省推国＜80%</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lang w:val="en-US" w:bidi="ar"/>
              </w:rPr>
            </w:pPr>
            <w:r>
              <w:rPr>
                <w:rFonts w:hint="eastAsia"/>
                <w:color w:val="000000"/>
                <w:sz w:val="21"/>
                <w:szCs w:val="21"/>
                <w:lang w:val="en-US" w:bidi="ar"/>
              </w:rPr>
              <w:t>降等认定</w:t>
            </w:r>
          </w:p>
          <w:p>
            <w:pPr>
              <w:widowControl/>
              <w:jc w:val="center"/>
              <w:textAlignment w:val="center"/>
              <w:rPr>
                <w:color w:val="000000"/>
                <w:sz w:val="21"/>
                <w:szCs w:val="21"/>
                <w:lang w:val="en-US"/>
              </w:rPr>
            </w:pPr>
            <w:r>
              <w:rPr>
                <w:rFonts w:hint="eastAsia"/>
                <w:color w:val="000000"/>
                <w:sz w:val="21"/>
                <w:szCs w:val="21"/>
                <w:lang w:val="en-US" w:bidi="ar"/>
              </w:rPr>
              <w:t>（按无省赛标准）</w:t>
            </w:r>
          </w:p>
        </w:tc>
        <w:tc>
          <w:tcPr>
            <w:tcW w:w="2400" w:type="dxa"/>
            <w:vMerge w:val="continue"/>
            <w:tcBorders>
              <w:left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p>
        </w:tc>
      </w:tr>
      <w:tr>
        <w:trPr>
          <w:trHeight w:val="454" w:hRule="exact"/>
          <w:jc w:val="center"/>
        </w:trPr>
        <w:tc>
          <w:tcPr>
            <w:tcW w:w="1814" w:type="dxa"/>
            <w:vMerge w:val="continue"/>
            <w:tcBorders>
              <w:left w:val="single" w:color="000000" w:sz="4" w:space="0"/>
              <w:right w:val="single" w:color="000000" w:sz="4" w:space="0"/>
            </w:tcBorders>
            <w:shd w:val="clear" w:color="auto" w:fill="auto"/>
            <w:vAlign w:val="center"/>
          </w:tcPr>
          <w:p>
            <w:pPr>
              <w:widowControl/>
              <w:jc w:val="center"/>
              <w:textAlignment w:val="center"/>
              <w:rPr>
                <w:color w:val="000000"/>
                <w:sz w:val="21"/>
                <w:szCs w:val="21"/>
                <w:lang w:val="en-US" w:bidi="ar"/>
              </w:rPr>
            </w:pP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lang w:val="en-US"/>
              </w:rPr>
            </w:pPr>
            <w:r>
              <w:rPr>
                <w:rFonts w:hint="eastAsia"/>
                <w:color w:val="000000"/>
                <w:sz w:val="21"/>
                <w:szCs w:val="21"/>
                <w:lang w:val="en-US" w:bidi="ar"/>
              </w:rPr>
              <w:t>①     省推国≥80%</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lang w:val="en-US" w:bidi="ar"/>
              </w:rPr>
            </w:pPr>
            <w:r>
              <w:rPr>
                <w:rFonts w:hint="eastAsia"/>
                <w:color w:val="000000"/>
                <w:sz w:val="21"/>
                <w:szCs w:val="21"/>
                <w:lang w:val="en-US" w:bidi="ar"/>
              </w:rPr>
              <w:t>降级认定</w:t>
            </w:r>
          </w:p>
        </w:tc>
        <w:tc>
          <w:tcPr>
            <w:tcW w:w="2400" w:type="dxa"/>
            <w:vMerge w:val="continue"/>
            <w:tcBorders>
              <w:left w:val="single" w:color="000000" w:sz="4" w:space="0"/>
              <w:right w:val="single" w:color="000000" w:sz="4" w:space="0"/>
            </w:tcBorders>
            <w:shd w:val="clear" w:color="auto" w:fill="auto"/>
            <w:noWrap/>
            <w:vAlign w:val="center"/>
          </w:tcPr>
          <w:p>
            <w:pPr>
              <w:widowControl/>
              <w:jc w:val="center"/>
              <w:textAlignment w:val="center"/>
              <w:rPr>
                <w:color w:val="000000"/>
                <w:sz w:val="21"/>
                <w:szCs w:val="21"/>
                <w:lang w:val="en-US" w:bidi="ar"/>
              </w:rPr>
            </w:pPr>
          </w:p>
        </w:tc>
      </w:tr>
      <w:tr>
        <w:trPr>
          <w:trHeight w:val="454" w:hRule="exact"/>
          <w:jc w:val="center"/>
        </w:trPr>
        <w:tc>
          <w:tcPr>
            <w:tcW w:w="1814" w:type="dxa"/>
            <w:vMerge w:val="continue"/>
            <w:tcBorders>
              <w:left w:val="single" w:color="000000" w:sz="4" w:space="0"/>
              <w:right w:val="single" w:color="000000" w:sz="4" w:space="0"/>
            </w:tcBorders>
            <w:shd w:val="clear" w:color="auto" w:fill="auto"/>
            <w:vAlign w:val="center"/>
          </w:tcPr>
          <w:p>
            <w:pPr>
              <w:widowControl/>
              <w:jc w:val="center"/>
              <w:textAlignment w:val="center"/>
              <w:rPr>
                <w:color w:val="000000"/>
                <w:sz w:val="21"/>
                <w:szCs w:val="21"/>
                <w:lang w:val="en-US" w:bidi="ar"/>
              </w:rPr>
            </w:pP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lang w:val="en-US"/>
              </w:rPr>
            </w:pPr>
            <w:r>
              <w:rPr>
                <w:rFonts w:hint="eastAsia"/>
                <w:color w:val="000000"/>
                <w:sz w:val="21"/>
                <w:szCs w:val="21"/>
                <w:lang w:val="en-US" w:bidi="ar"/>
              </w:rPr>
              <w:t>②     国奖率＜30%</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lang w:val="en-US" w:bidi="ar"/>
              </w:rPr>
            </w:pPr>
            <w:r>
              <w:rPr>
                <w:rFonts w:hint="eastAsia"/>
                <w:color w:val="000000"/>
                <w:sz w:val="21"/>
                <w:szCs w:val="21"/>
                <w:lang w:val="en-US" w:bidi="ar"/>
              </w:rPr>
              <w:t>国家级</w:t>
            </w:r>
          </w:p>
        </w:tc>
        <w:tc>
          <w:tcPr>
            <w:tcW w:w="2400" w:type="dxa"/>
            <w:vMerge w:val="continue"/>
            <w:tcBorders>
              <w:left w:val="single" w:color="000000" w:sz="4" w:space="0"/>
              <w:right w:val="single" w:color="000000" w:sz="4" w:space="0"/>
            </w:tcBorders>
            <w:shd w:val="clear" w:color="auto" w:fill="auto"/>
            <w:noWrap/>
            <w:vAlign w:val="center"/>
          </w:tcPr>
          <w:p>
            <w:pPr>
              <w:widowControl/>
              <w:jc w:val="center"/>
              <w:textAlignment w:val="center"/>
              <w:rPr>
                <w:color w:val="000000"/>
                <w:sz w:val="21"/>
                <w:szCs w:val="21"/>
                <w:lang w:val="en-US" w:bidi="ar"/>
              </w:rPr>
            </w:pPr>
          </w:p>
        </w:tc>
      </w:tr>
      <w:tr>
        <w:trPr>
          <w:trHeight w:val="454" w:hRule="exact"/>
          <w:jc w:val="center"/>
        </w:trPr>
        <w:tc>
          <w:tcPr>
            <w:tcW w:w="1814" w:type="dxa"/>
            <w:vMerge w:val="continue"/>
            <w:tcBorders>
              <w:left w:val="single" w:color="000000" w:sz="4" w:space="0"/>
              <w:right w:val="single" w:color="000000" w:sz="4" w:space="0"/>
            </w:tcBorders>
            <w:shd w:val="clear" w:color="auto" w:fill="auto"/>
            <w:vAlign w:val="center"/>
          </w:tcPr>
          <w:p>
            <w:pPr>
              <w:widowControl/>
              <w:jc w:val="center"/>
              <w:textAlignment w:val="center"/>
              <w:rPr>
                <w:color w:val="000000"/>
                <w:sz w:val="21"/>
                <w:szCs w:val="21"/>
                <w:lang w:val="en-US" w:bidi="ar"/>
              </w:rPr>
            </w:pP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lang w:val="en-US"/>
              </w:rPr>
            </w:pPr>
            <w:r>
              <w:rPr>
                <w:rFonts w:hint="eastAsia"/>
                <w:color w:val="000000"/>
                <w:sz w:val="21"/>
                <w:szCs w:val="21"/>
                <w:lang w:val="en-US" w:bidi="ar"/>
              </w:rPr>
              <w:t>②30%≤国奖率＜60%</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lang w:val="en-US" w:bidi="ar"/>
              </w:rPr>
            </w:pPr>
            <w:r>
              <w:rPr>
                <w:rFonts w:hint="eastAsia"/>
                <w:color w:val="000000"/>
                <w:sz w:val="21"/>
                <w:szCs w:val="21"/>
                <w:lang w:val="en-US" w:bidi="ar"/>
              </w:rPr>
              <w:t>降等认定</w:t>
            </w:r>
          </w:p>
        </w:tc>
        <w:tc>
          <w:tcPr>
            <w:tcW w:w="2400" w:type="dxa"/>
            <w:vMerge w:val="continue"/>
            <w:tcBorders>
              <w:left w:val="single" w:color="000000" w:sz="4" w:space="0"/>
              <w:right w:val="single" w:color="000000" w:sz="4" w:space="0"/>
            </w:tcBorders>
            <w:shd w:val="clear" w:color="auto" w:fill="auto"/>
            <w:noWrap/>
            <w:vAlign w:val="center"/>
          </w:tcPr>
          <w:p>
            <w:pPr>
              <w:widowControl/>
              <w:jc w:val="center"/>
              <w:textAlignment w:val="center"/>
              <w:rPr>
                <w:color w:val="000000"/>
                <w:sz w:val="21"/>
                <w:szCs w:val="21"/>
                <w:lang w:val="en-US" w:bidi="ar"/>
              </w:rPr>
            </w:pPr>
          </w:p>
        </w:tc>
      </w:tr>
      <w:tr>
        <w:trPr>
          <w:trHeight w:val="454" w:hRule="exact"/>
          <w:jc w:val="center"/>
        </w:trPr>
        <w:tc>
          <w:tcPr>
            <w:tcW w:w="1814" w:type="dxa"/>
            <w:vMerge w:val="continue"/>
            <w:tcBorders>
              <w:left w:val="single" w:color="000000" w:sz="4" w:space="0"/>
              <w:right w:val="single" w:color="000000" w:sz="4" w:space="0"/>
            </w:tcBorders>
            <w:shd w:val="clear" w:color="auto" w:fill="auto"/>
            <w:vAlign w:val="center"/>
          </w:tcPr>
          <w:p>
            <w:pPr>
              <w:widowControl/>
              <w:jc w:val="center"/>
              <w:textAlignment w:val="center"/>
              <w:rPr>
                <w:color w:val="000000"/>
                <w:sz w:val="21"/>
                <w:szCs w:val="21"/>
                <w:lang w:val="en-US" w:bidi="ar"/>
              </w:rPr>
            </w:pP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lang w:val="en-US"/>
              </w:rPr>
            </w:pPr>
            <w:r>
              <w:rPr>
                <w:rFonts w:hint="eastAsia"/>
                <w:color w:val="000000"/>
                <w:sz w:val="21"/>
                <w:szCs w:val="21"/>
                <w:lang w:val="en-US" w:bidi="ar"/>
              </w:rPr>
              <w:t>②     国奖率≥60%</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lang w:val="en-US" w:bidi="ar"/>
              </w:rPr>
            </w:pPr>
            <w:r>
              <w:rPr>
                <w:rFonts w:hint="eastAsia"/>
                <w:color w:val="000000"/>
                <w:sz w:val="21"/>
                <w:szCs w:val="21"/>
                <w:lang w:val="en-US" w:bidi="ar"/>
              </w:rPr>
              <w:t>降级认定</w:t>
            </w:r>
          </w:p>
        </w:tc>
        <w:tc>
          <w:tcPr>
            <w:tcW w:w="2400" w:type="dxa"/>
            <w:vMerge w:val="continue"/>
            <w:tcBorders>
              <w:left w:val="single" w:color="000000" w:sz="4" w:space="0"/>
              <w:right w:val="single" w:color="000000" w:sz="4" w:space="0"/>
            </w:tcBorders>
            <w:shd w:val="clear" w:color="auto" w:fill="auto"/>
            <w:noWrap/>
            <w:vAlign w:val="center"/>
          </w:tcPr>
          <w:p>
            <w:pPr>
              <w:widowControl/>
              <w:jc w:val="center"/>
              <w:textAlignment w:val="center"/>
              <w:rPr>
                <w:color w:val="000000"/>
                <w:sz w:val="21"/>
                <w:szCs w:val="21"/>
                <w:lang w:val="en-US" w:bidi="ar"/>
              </w:rPr>
            </w:pPr>
          </w:p>
        </w:tc>
      </w:tr>
      <w:tr>
        <w:trPr>
          <w:trHeight w:val="567" w:hRule="exact"/>
          <w:jc w:val="center"/>
        </w:trPr>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rPr>
            </w:pPr>
            <w:r>
              <w:rPr>
                <w:rFonts w:hint="eastAsia"/>
                <w:color w:val="000000"/>
                <w:sz w:val="21"/>
                <w:szCs w:val="21"/>
                <w:lang w:val="en-US" w:bidi="ar"/>
              </w:rPr>
              <w:t>全国榜单竞赛</w:t>
            </w:r>
            <w:r>
              <w:rPr>
                <w:rFonts w:hint="eastAsia"/>
                <w:color w:val="000000"/>
                <w:sz w:val="21"/>
                <w:szCs w:val="21"/>
                <w:lang w:val="en-US" w:bidi="ar"/>
              </w:rPr>
              <w:br w:type="textWrapping"/>
            </w:r>
            <w:r>
              <w:rPr>
                <w:rFonts w:hint="eastAsia"/>
                <w:color w:val="000000"/>
                <w:sz w:val="21"/>
                <w:szCs w:val="21"/>
                <w:lang w:val="en-US" w:bidi="ar"/>
              </w:rPr>
              <w:t>省级奖项</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rPr>
            </w:pPr>
            <w:r>
              <w:rPr>
                <w:rFonts w:hint="eastAsia"/>
                <w:color w:val="000000"/>
                <w:sz w:val="21"/>
                <w:szCs w:val="21"/>
                <w:lang w:val="en-US" w:bidi="ar"/>
              </w:rPr>
              <w:t>/</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bidi="ar"/>
              </w:rPr>
              <w:t>省级</w:t>
            </w:r>
          </w:p>
        </w:tc>
        <w:tc>
          <w:tcPr>
            <w:tcW w:w="2400"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bidi="ar"/>
              </w:rPr>
              <w:t>省级</w:t>
            </w:r>
          </w:p>
        </w:tc>
      </w:tr>
      <w:tr>
        <w:trPr>
          <w:trHeight w:val="567" w:hRule="exact"/>
          <w:jc w:val="center"/>
        </w:trPr>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1"/>
                <w:szCs w:val="21"/>
              </w:rPr>
            </w:pP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rPr>
            </w:pPr>
            <w:r>
              <w:rPr>
                <w:rFonts w:hint="eastAsia"/>
                <w:sz w:val="21"/>
                <w:szCs w:val="21"/>
                <w:lang w:val="en-US"/>
              </w:rPr>
              <w:t>③     省奖率</w:t>
            </w:r>
            <w:r>
              <w:rPr>
                <w:rFonts w:hint="eastAsia"/>
                <w:color w:val="000000"/>
                <w:sz w:val="21"/>
                <w:szCs w:val="21"/>
                <w:lang w:val="en-US"/>
              </w:rPr>
              <w:t>≥80%</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bidi="ar"/>
              </w:rPr>
              <w:t>降等认定</w:t>
            </w:r>
          </w:p>
        </w:tc>
        <w:tc>
          <w:tcPr>
            <w:tcW w:w="2400"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p>
        </w:tc>
      </w:tr>
      <w:tr>
        <w:trPr>
          <w:trHeight w:val="567" w:hRule="exact"/>
          <w:jc w:val="center"/>
        </w:trPr>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lang w:val="en-US" w:bidi="ar"/>
              </w:rPr>
            </w:pPr>
            <w:r>
              <w:rPr>
                <w:rFonts w:hint="eastAsia"/>
                <w:color w:val="000000"/>
                <w:sz w:val="21"/>
                <w:szCs w:val="21"/>
                <w:lang w:val="en-US" w:bidi="ar"/>
              </w:rPr>
              <w:t>B类乙等</w:t>
            </w:r>
          </w:p>
          <w:p>
            <w:pPr>
              <w:widowControl/>
              <w:jc w:val="center"/>
              <w:textAlignment w:val="center"/>
              <w:rPr>
                <w:color w:val="000000"/>
                <w:sz w:val="21"/>
                <w:szCs w:val="21"/>
              </w:rPr>
            </w:pPr>
            <w:r>
              <w:rPr>
                <w:rFonts w:hint="eastAsia"/>
                <w:color w:val="000000"/>
                <w:sz w:val="21"/>
                <w:szCs w:val="21"/>
                <w:lang w:val="en-US" w:bidi="ar"/>
              </w:rPr>
              <w:t>国家级奖项</w:t>
            </w: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bidi="ar"/>
              </w:rPr>
              <w:t>/</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bidi="ar"/>
              </w:rPr>
              <w:t>无</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bidi="ar"/>
              </w:rPr>
              <w:t>国家级</w:t>
            </w:r>
          </w:p>
        </w:tc>
      </w:tr>
      <w:tr>
        <w:trPr>
          <w:trHeight w:val="567" w:hRule="exact"/>
          <w:jc w:val="center"/>
        </w:trPr>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lang w:val="en-US" w:bidi="ar"/>
              </w:rPr>
            </w:pPr>
            <w:r>
              <w:rPr>
                <w:rFonts w:hint="eastAsia"/>
                <w:color w:val="000000"/>
                <w:sz w:val="21"/>
                <w:szCs w:val="21"/>
                <w:lang w:val="en-US" w:bidi="ar"/>
              </w:rPr>
              <w:t>B类乙等</w:t>
            </w:r>
          </w:p>
          <w:p>
            <w:pPr>
              <w:widowControl/>
              <w:jc w:val="center"/>
              <w:textAlignment w:val="center"/>
              <w:rPr>
                <w:color w:val="000000"/>
                <w:sz w:val="21"/>
                <w:szCs w:val="21"/>
              </w:rPr>
            </w:pPr>
            <w:r>
              <w:rPr>
                <w:rFonts w:hint="eastAsia"/>
                <w:color w:val="000000"/>
                <w:sz w:val="21"/>
                <w:szCs w:val="21"/>
                <w:lang w:val="en-US" w:bidi="ar"/>
              </w:rPr>
              <w:t>省级奖项</w:t>
            </w: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bidi="ar"/>
              </w:rPr>
              <w:t>/</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bidi="ar"/>
              </w:rPr>
              <w:t>无</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bidi="ar"/>
              </w:rPr>
              <w:t>省级</w:t>
            </w:r>
          </w:p>
        </w:tc>
      </w:tr>
      <w:tr>
        <w:trPr>
          <w:trHeight w:val="547" w:hRule="exact"/>
          <w:jc w:val="center"/>
        </w:trPr>
        <w:tc>
          <w:tcPr>
            <w:tcW w:w="88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1"/>
                <w:szCs w:val="21"/>
                <w:lang w:val="en-US" w:bidi="ar"/>
              </w:rPr>
            </w:pPr>
            <w:r>
              <w:rPr>
                <w:rFonts w:hint="eastAsia"/>
                <w:color w:val="000000"/>
                <w:sz w:val="21"/>
                <w:szCs w:val="21"/>
                <w:lang w:val="en-US" w:bidi="ar"/>
              </w:rPr>
              <w:t>注：同一教师指导同一届同个竞赛获奖，聘期考核按最高的3项奖项计。</w:t>
            </w:r>
          </w:p>
        </w:tc>
      </w:tr>
    </w:tbl>
    <w:p>
      <w:pPr>
        <w:tabs>
          <w:tab w:val="left" w:pos="3960"/>
        </w:tabs>
        <w:spacing w:line="360" w:lineRule="auto"/>
        <w:ind w:firstLine="640" w:firstLineChars="200"/>
        <w:rPr>
          <w:sz w:val="32"/>
          <w:szCs w:val="32"/>
          <w:lang w:val="en-US"/>
        </w:rPr>
      </w:pPr>
    </w:p>
    <w:p>
      <w:pPr>
        <w:tabs>
          <w:tab w:val="left" w:pos="3960"/>
        </w:tabs>
        <w:spacing w:line="360" w:lineRule="auto"/>
        <w:ind w:firstLine="640" w:firstLineChars="200"/>
        <w:rPr>
          <w:sz w:val="32"/>
          <w:szCs w:val="32"/>
          <w:lang w:val="en-US"/>
        </w:rPr>
      </w:pPr>
      <w:r>
        <w:rPr>
          <w:rFonts w:hint="eastAsia"/>
          <w:sz w:val="32"/>
          <w:szCs w:val="32"/>
          <w:lang w:val="en-US"/>
        </w:rPr>
        <w:t>1.①指有赛道设省级（区域）选拔，省赛推荐国赛比例；②指有赛道未设省级（区域）选拔，国赛获奖比例；③指有赛道设省级（区域）选拔，省赛获奖比例。</w:t>
      </w:r>
    </w:p>
    <w:p>
      <w:pPr>
        <w:tabs>
          <w:tab w:val="left" w:pos="3960"/>
        </w:tabs>
        <w:spacing w:line="360" w:lineRule="auto"/>
        <w:ind w:firstLine="640" w:firstLineChars="200"/>
        <w:rPr>
          <w:sz w:val="32"/>
          <w:szCs w:val="32"/>
          <w:lang w:val="en-US"/>
        </w:rPr>
      </w:pPr>
      <w:r>
        <w:rPr>
          <w:rFonts w:hint="eastAsia"/>
          <w:sz w:val="32"/>
          <w:szCs w:val="32"/>
          <w:lang w:val="en-US"/>
        </w:rPr>
        <w:t>2.各竞赛限制一所学校报送5支队伍以内（含5支），或限制一所学校报送3支队伍/赛道以内（含3支）且赛道在2个以内（含2个）的，不在①②③范围内。同时列入浙江省教育厅分类评价体系和全国普通高校学科竞赛排行榜的竞赛，按前者认定。</w:t>
      </w:r>
    </w:p>
    <w:p>
      <w:pPr>
        <w:spacing w:line="360" w:lineRule="auto"/>
        <w:ind w:firstLine="640" w:firstLineChars="200"/>
        <w:rPr>
          <w:sz w:val="32"/>
          <w:szCs w:val="32"/>
          <w:lang w:val="en-US"/>
        </w:rPr>
      </w:pPr>
      <w:r>
        <w:rPr>
          <w:rFonts w:hint="eastAsia"/>
          <w:sz w:val="32"/>
          <w:szCs w:val="32"/>
          <w:lang w:val="en-US"/>
        </w:rPr>
        <w:t>3.学院组织的各省赛选拔赛中，“</w:t>
      </w:r>
      <w:r>
        <w:rPr>
          <w:rFonts w:hint="eastAsia"/>
          <w:sz w:val="32"/>
          <w:szCs w:val="32"/>
          <w:lang w:val="en-US" w:eastAsia="zh-CN"/>
        </w:rPr>
        <w:t>创新大赛</w:t>
      </w:r>
      <w:bookmarkStart w:id="0" w:name="_GoBack"/>
      <w:bookmarkEnd w:id="0"/>
      <w:r>
        <w:rPr>
          <w:rFonts w:hint="eastAsia"/>
          <w:sz w:val="32"/>
          <w:szCs w:val="32"/>
          <w:lang w:val="en-US"/>
        </w:rPr>
        <w:t>”、“挑战杯”认定为校级竞赛，相关奖励按校级执行，其余认定为院级竞赛。</w:t>
      </w:r>
    </w:p>
    <w:p>
      <w:pPr>
        <w:spacing w:line="360" w:lineRule="auto"/>
        <w:ind w:firstLine="640" w:firstLineChars="200"/>
        <w:rPr>
          <w:sz w:val="32"/>
          <w:szCs w:val="32"/>
          <w:lang w:val="en-US"/>
        </w:rPr>
      </w:pPr>
      <w:r>
        <w:rPr>
          <w:rFonts w:hint="eastAsia"/>
          <w:sz w:val="32"/>
          <w:szCs w:val="32"/>
          <w:lang w:val="en-US"/>
        </w:rPr>
        <w:t>4.202</w:t>
      </w:r>
      <w:r>
        <w:rPr>
          <w:rFonts w:hint="eastAsia"/>
          <w:sz w:val="32"/>
          <w:szCs w:val="32"/>
          <w:lang w:val="en-US" w:eastAsia="zh-CN"/>
        </w:rPr>
        <w:t>4</w:t>
      </w:r>
      <w:r>
        <w:rPr>
          <w:rFonts w:hint="eastAsia"/>
          <w:sz w:val="32"/>
          <w:szCs w:val="32"/>
          <w:lang w:val="en-US"/>
        </w:rPr>
        <w:t>年度教师指导学生参加学科竞赛活动奖励，参照本规定此执行。</w:t>
      </w:r>
    </w:p>
    <w:p>
      <w:pPr>
        <w:spacing w:line="360" w:lineRule="auto"/>
        <w:ind w:firstLine="640" w:firstLineChars="200"/>
        <w:rPr>
          <w:sz w:val="32"/>
          <w:szCs w:val="32"/>
          <w:lang w:val="en-US"/>
        </w:rPr>
      </w:pPr>
      <w:r>
        <w:rPr>
          <w:rFonts w:hint="eastAsia"/>
          <w:sz w:val="32"/>
          <w:szCs w:val="32"/>
          <w:lang w:val="en-US"/>
        </w:rPr>
        <w:t>5.本说明由学科竞赛办公室（科技处</w:t>
      </w:r>
      <w:r>
        <w:rPr>
          <w:rFonts w:hint="eastAsia"/>
          <w:sz w:val="32"/>
          <w:szCs w:val="32"/>
          <w:lang w:val="en-US" w:eastAsia="zh-CN"/>
        </w:rPr>
        <w:t>、</w:t>
      </w:r>
      <w:r>
        <w:rPr>
          <w:rFonts w:hint="eastAsia"/>
          <w:sz w:val="32"/>
          <w:szCs w:val="32"/>
          <w:lang w:val="en-US"/>
        </w:rPr>
        <w:t>创新创业学院）负责解释。其他未尽事宜，由竞赛工作委员会研究决定。</w:t>
      </w:r>
    </w:p>
    <w:p>
      <w:pPr>
        <w:spacing w:line="360" w:lineRule="auto"/>
        <w:rPr>
          <w:sz w:val="32"/>
          <w:szCs w:val="32"/>
          <w:lang w:val="en-US"/>
        </w:rPr>
      </w:pPr>
    </w:p>
    <w:p/>
    <w:sectPr>
      <w:pgSz w:w="11910" w:h="16840"/>
      <w:pgMar w:top="873" w:right="1800" w:bottom="873"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2010601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4MzgzODI2NmZmMWUwNWQ5YTcwOTU0MzZiYzk5MGQifQ=="/>
  </w:docVars>
  <w:rsids>
    <w:rsidRoot w:val="00000000"/>
    <w:rsid w:val="0EE32573"/>
    <w:rsid w:val="67FF4FD2"/>
    <w:rsid w:val="77FF1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9"/>
    <w:pPr>
      <w:ind w:left="474" w:right="574" w:hanging="881"/>
      <w:outlineLvl w:val="0"/>
    </w:pPr>
    <w:rPr>
      <w:rFonts w:ascii="宋体" w:hAnsi="宋体" w:eastAsia="宋体" w:cs="宋体"/>
      <w:sz w:val="44"/>
      <w:szCs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2024-09-09T23:25:00Z</dcterms:created>
  <dc:creator>OptiPlex 3070</dc:creator>
  <cp:lastModifiedBy>皇上是美男。</cp:lastModifiedBy>
  <dcterms:modified xsi:type="dcterms:W3CDTF">2024-09-09T20:35:18Z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83C45D7242104B668FF2832A26DF8413_12</vt:lpwstr>
  </property>
</Properties>
</file>